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6D7128" w:rsidRDefault="00B71D66" w:rsidP="006D7128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 xml:space="preserve">Plano de </w:t>
      </w:r>
      <w:r w:rsidR="00D15A1C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6D7128" w:rsidRDefault="00D15A1C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2.1.4 - 2.1.5 (Estudo de Caso da Convenção de Budapeste)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D15A1C" w:rsidP="00477ADF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2.1.4 - 2.1.5 (Estudo de Caso da Convenção de Budapeste)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477AD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90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DC0837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D15A1C">
              <w:t xml:space="preserve">para os formandos </w:t>
            </w:r>
            <w:r>
              <w:t>e canetas.</w:t>
            </w:r>
          </w:p>
          <w:p w:rsidR="00DC0837" w:rsidRPr="003406F3" w:rsidRDefault="00DC0837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Cópias do estudo de caso e da Convenção de Budapeste para os </w:t>
            </w:r>
            <w:r w:rsidR="00D15A1C">
              <w:t>formando</w:t>
            </w:r>
            <w:r>
              <w:t>s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26395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A03CF0" w:rsidRPr="003406F3" w:rsidRDefault="00DC0837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proporcionar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oportunidade de desenvolver aspetos práticos d</w:t>
            </w:r>
            <w:r w:rsidR="00D15A1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seu conhecimentos sobre a Convenção de Budapeste, trabalhando num problema de estudo de caso que abrange lei substantiva, poderes processuais, assistência </w:t>
            </w:r>
            <w:r w:rsidR="00D15A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outras formas de cooperação internacional permitida pela Convenção de Budapeste.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3F2B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B3018E" w:rsidRPr="00DC0837" w:rsidRDefault="00BD6890" w:rsidP="003F2BCF">
            <w:pPr>
              <w:pStyle w:val="bul1"/>
              <w:spacing w:line="280" w:lineRule="exact"/>
              <w:ind w:left="697" w:hanging="360"/>
              <w:rPr>
                <w:szCs w:val="18"/>
              </w:rPr>
            </w:pPr>
            <w:r>
              <w:t>Relembrar a</w:t>
            </w:r>
            <w:r w:rsidR="00176E5E">
              <w:t xml:space="preserve"> </w:t>
            </w:r>
            <w:r>
              <w:t>lei substantiva, o direito processual e as disposições relativas à cooperação internacional da Convenção de Budapeste, abordadas no curso introdutório</w:t>
            </w:r>
          </w:p>
          <w:p w:rsidR="00B3018E" w:rsidRPr="00DC0837" w:rsidRDefault="00BD6890" w:rsidP="003F2BCF">
            <w:pPr>
              <w:pStyle w:val="bul1"/>
              <w:spacing w:line="280" w:lineRule="exact"/>
              <w:ind w:left="697" w:hanging="360"/>
              <w:rPr>
                <w:szCs w:val="18"/>
              </w:rPr>
            </w:pPr>
            <w:r>
              <w:t>Explicar o alcance e a extensão da lei substantiva, do direito processual e das disposições relativas à cooperação internacional da Convenção de Budapeste</w:t>
            </w:r>
          </w:p>
          <w:p w:rsidR="0036129C" w:rsidRPr="0051122C" w:rsidRDefault="003F2BCF" w:rsidP="003F2BCF">
            <w:pPr>
              <w:pStyle w:val="bul1"/>
              <w:spacing w:line="280" w:lineRule="exact"/>
              <w:ind w:left="697" w:hanging="360"/>
              <w:contextualSpacing/>
              <w:rPr>
                <w:szCs w:val="18"/>
              </w:rPr>
            </w:pPr>
            <w:r>
              <w:t>Aplicar as disposições da Convenção de Budapeste e as legislações nacionais correspondentes a estudos de caso relacionados com a lei de cooperação substantiva, processual e internacional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7A1980" w:rsidP="002131B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Convenção de Budapeste é o primeiro tratado internacional que aborda especificamente crimes cibernéticos, poderes processuais relacionados </w:t>
            </w:r>
            <w:r w:rsidR="00D15A1C">
              <w:rPr>
                <w:rFonts w:ascii="Verdana" w:hAnsi="Verdana"/>
                <w:sz w:val="18"/>
                <w:szCs w:val="18"/>
              </w:rPr>
              <w:t>com</w:t>
            </w:r>
            <w:r>
              <w:rPr>
                <w:rFonts w:ascii="Verdana" w:hAnsi="Verdana"/>
                <w:sz w:val="18"/>
                <w:szCs w:val="18"/>
              </w:rPr>
              <w:t xml:space="preserve"> cibercrimes e prova eletrónica e cooperação internacional entre as partes. 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avançada vem na forma de um breve estudo de caso que cobre todos os aspetos da Convenção de Budapeste, baseando-se em conceitos abordados em módulos introdutórios relacionados com a lei substantiva, poderes processuais, assistência </w:t>
            </w:r>
            <w:r w:rsidR="00D15A1C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>mútua e cooperação público-privada. O estudo de caso está dividido em quatro partes e a apresentação que inclui uma introdução ao estudo de caso tem cinco partes.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D15A1C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a estrutura e objetivos desta sessão. Os </w:t>
            </w:r>
            <w:r w:rsidR="00D15A1C">
              <w:rPr>
                <w:rFonts w:ascii="Verdana" w:hAnsi="Verdana"/>
                <w:sz w:val="18"/>
                <w:szCs w:val="18"/>
              </w:rPr>
              <w:lastRenderedPageBreak/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2131BC" w:rsidP="00A53D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18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2131BC" w:rsidRDefault="002131BC" w:rsidP="007D18F0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Estes slides introduzem 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aos fa</w:t>
            </w:r>
            <w:r w:rsidR="003D1BD9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e questões do estudo do caso em que 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deverão trabalhar. O formador deve explicar os fa</w:t>
            </w:r>
            <w:r w:rsidR="00D15A1C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detalhadamente aos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e, em particular, deve concentrar</w:t>
            </w:r>
            <w:r w:rsidR="00D15A1C">
              <w:rPr>
                <w:rFonts w:ascii="Verdana" w:hAnsi="Verdana"/>
                <w:szCs w:val="18"/>
              </w:rPr>
              <w:t>-se</w:t>
            </w:r>
            <w:r>
              <w:rPr>
                <w:rFonts w:ascii="Verdana" w:hAnsi="Verdana"/>
                <w:szCs w:val="18"/>
              </w:rPr>
              <w:t xml:space="preserve"> nos aspetos-chave dos fa</w:t>
            </w:r>
            <w:r w:rsidR="00D15A1C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>tos que são importantes</w:t>
            </w:r>
            <w:r w:rsidR="00D15A1C">
              <w:rPr>
                <w:rFonts w:ascii="Verdana" w:hAnsi="Verdana"/>
                <w:szCs w:val="18"/>
              </w:rPr>
              <w:t>, tendo em vista</w:t>
            </w:r>
            <w:r>
              <w:rPr>
                <w:rFonts w:ascii="Verdana" w:hAnsi="Verdana"/>
                <w:szCs w:val="18"/>
              </w:rPr>
              <w:t xml:space="preserve"> responder às perguntas. O </w:t>
            </w:r>
            <w:r w:rsidR="00C606AF">
              <w:rPr>
                <w:rFonts w:ascii="Verdana" w:hAnsi="Verdana"/>
                <w:szCs w:val="18"/>
              </w:rPr>
              <w:t xml:space="preserve">formador </w:t>
            </w:r>
            <w:r>
              <w:rPr>
                <w:rFonts w:ascii="Verdana" w:hAnsi="Verdana"/>
                <w:szCs w:val="18"/>
              </w:rPr>
              <w:t xml:space="preserve">deve dar uma oportunidade aos </w:t>
            </w:r>
            <w:r w:rsidR="00D15A1C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>s de fazer perguntas sobre os fa</w:t>
            </w:r>
            <w:r w:rsidR="00C606AF">
              <w:rPr>
                <w:rFonts w:ascii="Verdana" w:hAnsi="Verdana"/>
                <w:szCs w:val="18"/>
              </w:rPr>
              <w:t>c</w:t>
            </w:r>
            <w:r>
              <w:rPr>
                <w:rFonts w:ascii="Verdana" w:hAnsi="Verdana"/>
                <w:szCs w:val="18"/>
              </w:rPr>
              <w:t xml:space="preserve">tos ou qualquer </w:t>
            </w:r>
            <w:r w:rsidR="00C606AF">
              <w:rPr>
                <w:rFonts w:ascii="Verdana" w:hAnsi="Verdana"/>
                <w:szCs w:val="18"/>
              </w:rPr>
              <w:t>outro aspeto</w:t>
            </w:r>
            <w:r>
              <w:rPr>
                <w:rFonts w:ascii="Verdana" w:hAnsi="Verdana"/>
                <w:szCs w:val="18"/>
              </w:rPr>
              <w:t xml:space="preserve"> </w:t>
            </w:r>
            <w:r w:rsidR="00C606AF">
              <w:rPr>
                <w:rFonts w:ascii="Verdana" w:hAnsi="Verdana"/>
                <w:szCs w:val="18"/>
              </w:rPr>
              <w:t xml:space="preserve">desta </w:t>
            </w:r>
            <w:r>
              <w:rPr>
                <w:rFonts w:ascii="Verdana" w:hAnsi="Verdana"/>
                <w:szCs w:val="18"/>
              </w:rPr>
              <w:t>etapa preliminar antes de dar tempo para que eles resolvam o estudo de caso.</w:t>
            </w:r>
          </w:p>
        </w:tc>
      </w:tr>
      <w:tr w:rsidR="00790848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790848" w:rsidRPr="00790848" w:rsidRDefault="00790848" w:rsidP="007D18F0">
            <w:pPr>
              <w:pStyle w:val="Subtitle"/>
              <w:spacing w:beforeLines="20" w:before="48" w:afterLines="120" w:after="288" w:line="280" w:lineRule="exact"/>
              <w:jc w:val="center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b/>
                <w:szCs w:val="18"/>
              </w:rPr>
              <w:t>Exercício de Estudo de caso</w:t>
            </w:r>
          </w:p>
        </w:tc>
      </w:tr>
      <w:tr w:rsidR="003406F3" w:rsidRPr="003406F3">
        <w:trPr>
          <w:trHeight w:val="2015"/>
        </w:trPr>
        <w:tc>
          <w:tcPr>
            <w:tcW w:w="1615" w:type="dxa"/>
            <w:vAlign w:val="center"/>
          </w:tcPr>
          <w:p w:rsidR="00A00A58" w:rsidRPr="003406F3" w:rsidRDefault="00477ADF" w:rsidP="00477A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a 35</w:t>
            </w:r>
          </w:p>
        </w:tc>
        <w:tc>
          <w:tcPr>
            <w:tcW w:w="7395" w:type="dxa"/>
            <w:gridSpan w:val="2"/>
            <w:vAlign w:val="center"/>
          </w:tcPr>
          <w:p w:rsidR="00790848" w:rsidRDefault="00795C47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à lei substantiva.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fatos relevantes e, em seguida, lidar com cada questão individualmente. Os slides são organizados des</w:t>
            </w:r>
            <w:r w:rsidR="00C606AF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C606AF">
              <w:rPr>
                <w:rFonts w:ascii="Verdana" w:hAnsi="Verdana"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176E5E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C606AF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 relacionadas da Convenção de Budapeste,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C606AF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as respostas e explicações adequadas. </w:t>
            </w:r>
          </w:p>
          <w:p w:rsidR="00B4237D" w:rsidRPr="003406F3" w:rsidRDefault="00795C47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formando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 Convenção de Budapeste e, em particular, os conceitos relacionados com os artigos 2 (acesso ilegal), 5 (interferência </w:t>
            </w:r>
            <w:r w:rsidR="00C606AF">
              <w:rPr>
                <w:rFonts w:ascii="Verdana" w:hAnsi="Verdana"/>
                <w:sz w:val="18"/>
                <w:szCs w:val="18"/>
              </w:rPr>
              <w:t xml:space="preserve">em </w:t>
            </w:r>
            <w:r>
              <w:rPr>
                <w:rFonts w:ascii="Verdana" w:hAnsi="Verdana"/>
                <w:sz w:val="18"/>
                <w:szCs w:val="18"/>
              </w:rPr>
              <w:t>sistema) e 6 (</w:t>
            </w:r>
            <w:r w:rsidR="00C606AF">
              <w:rPr>
                <w:rFonts w:ascii="Verdana" w:hAnsi="Verdana"/>
                <w:sz w:val="18"/>
                <w:szCs w:val="18"/>
              </w:rPr>
              <w:t>u</w:t>
            </w:r>
            <w:r>
              <w:rPr>
                <w:rFonts w:ascii="Verdana" w:hAnsi="Verdana"/>
                <w:sz w:val="18"/>
                <w:szCs w:val="18"/>
              </w:rPr>
              <w:t xml:space="preserve">tilização </w:t>
            </w:r>
            <w:r w:rsidR="00C606AF">
              <w:rPr>
                <w:rFonts w:ascii="Verdana" w:hAnsi="Verdana"/>
                <w:sz w:val="18"/>
                <w:szCs w:val="18"/>
              </w:rPr>
              <w:t>in</w:t>
            </w:r>
            <w:r>
              <w:rPr>
                <w:rFonts w:ascii="Verdana" w:hAnsi="Verdana"/>
                <w:sz w:val="18"/>
                <w:szCs w:val="18"/>
              </w:rPr>
              <w:t xml:space="preserve">devida de dispositivos) da Convenção de Budapeste. 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477ADF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 a 51</w:t>
            </w:r>
          </w:p>
        </w:tc>
        <w:tc>
          <w:tcPr>
            <w:tcW w:w="7395" w:type="dxa"/>
            <w:gridSpan w:val="2"/>
            <w:vAlign w:val="center"/>
          </w:tcPr>
          <w:p w:rsidR="00790848" w:rsidRDefault="00790848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aos poderes processuais.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C606AF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C606AF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C606AF">
              <w:rPr>
                <w:rFonts w:ascii="Verdana" w:hAnsi="Verdana"/>
                <w:sz w:val="18"/>
                <w:szCs w:val="18"/>
              </w:rPr>
              <w:t>: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24411A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24411A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24411A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 relacionadas da Convenção de Budapeste,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as respostas e explicações adequadas. </w:t>
            </w:r>
          </w:p>
          <w:p w:rsidR="009A2F63" w:rsidRPr="003406F3" w:rsidRDefault="00790848" w:rsidP="00176E5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formandor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os poderes processuais da Convenção de Budapeste e as suas </w:t>
            </w:r>
            <w:r w:rsidR="00176E5E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em relação à identificação de poderes processuais relevantes para o exercício tendo em conta certos fa</w:t>
            </w:r>
            <w:r w:rsidR="00176E5E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 xml:space="preserve">tos. Em particular, conceitos relacionados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com </w:t>
            </w:r>
            <w:r>
              <w:rPr>
                <w:rFonts w:ascii="Verdana" w:hAnsi="Verdana"/>
                <w:sz w:val="18"/>
                <w:szCs w:val="18"/>
              </w:rPr>
              <w:t>o Artigo 16 (</w:t>
            </w:r>
            <w:r w:rsidR="0024411A">
              <w:rPr>
                <w:rFonts w:ascii="Verdana" w:hAnsi="Verdana"/>
                <w:sz w:val="18"/>
                <w:szCs w:val="18"/>
              </w:rPr>
              <w:t>conservação 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24411A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</w:t>
            </w:r>
            <w:r w:rsidR="0024411A">
              <w:rPr>
                <w:rFonts w:ascii="Verdana" w:hAnsi="Verdana"/>
                <w:sz w:val="18"/>
                <w:szCs w:val="18"/>
              </w:rPr>
              <w:t>i</w:t>
            </w:r>
            <w:r>
              <w:rPr>
                <w:rFonts w:ascii="Verdana" w:hAnsi="Verdana"/>
                <w:sz w:val="18"/>
                <w:szCs w:val="18"/>
              </w:rPr>
              <w:t xml:space="preserve">nformáticos </w:t>
            </w:r>
            <w:r w:rsidR="0024411A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rmazenados), 18.1.a. e 18.1.b. (</w:t>
            </w:r>
            <w:r w:rsidR="0024411A">
              <w:rPr>
                <w:rFonts w:ascii="Verdana" w:hAnsi="Verdana"/>
                <w:sz w:val="18"/>
                <w:szCs w:val="18"/>
              </w:rPr>
              <w:t>injunção de comunicar</w:t>
            </w:r>
            <w:r>
              <w:rPr>
                <w:rFonts w:ascii="Verdana" w:hAnsi="Verdana"/>
                <w:sz w:val="18"/>
                <w:szCs w:val="18"/>
              </w:rPr>
              <w:t>) da Convenção de Budapeste são testados nesta parte.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477ADF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52 a 64</w:t>
            </w:r>
          </w:p>
        </w:tc>
        <w:tc>
          <w:tcPr>
            <w:tcW w:w="7395" w:type="dxa"/>
            <w:gridSpan w:val="2"/>
            <w:vAlign w:val="center"/>
          </w:tcPr>
          <w:p w:rsidR="00EE70BF" w:rsidRDefault="00EE70BF" w:rsidP="00EE70B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a outras formas de cooperação internacional. Em particular, abrangem formas de cooperação internacional permitidas pela Convenção de Budapeste, que não exigem solicitações de assistência </w:t>
            </w:r>
            <w:r w:rsidR="0024411A">
              <w:rPr>
                <w:rFonts w:ascii="Verdana" w:hAnsi="Verdana"/>
                <w:sz w:val="18"/>
                <w:szCs w:val="18"/>
              </w:rPr>
              <w:t xml:space="preserve">judiciária </w:t>
            </w:r>
            <w:r>
              <w:rPr>
                <w:rFonts w:ascii="Verdana" w:hAnsi="Verdana"/>
                <w:sz w:val="18"/>
                <w:szCs w:val="18"/>
              </w:rPr>
              <w:t xml:space="preserve">mútua.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176E5E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3A347A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3A347A">
              <w:rPr>
                <w:rFonts w:ascii="Verdana" w:hAnsi="Verdana"/>
                <w:sz w:val="18"/>
                <w:szCs w:val="18"/>
              </w:rPr>
              <w:t>: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3A347A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3A347A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3A347A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por slides que destacam partes relevantes das disposições relacionadas da Convenção de Budapeste,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seguindo-se, </w:t>
            </w:r>
            <w:r>
              <w:rPr>
                <w:rFonts w:ascii="Verdana" w:hAnsi="Verdana"/>
                <w:sz w:val="18"/>
                <w:szCs w:val="18"/>
              </w:rPr>
              <w:t>finalmente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as respostas e explicações adequadas. </w:t>
            </w:r>
          </w:p>
          <w:p w:rsidR="00DB09DC" w:rsidRDefault="00EE70BF" w:rsidP="00EE70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formando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oportunidades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as formas de cooperação </w:t>
            </w:r>
            <w:r w:rsidR="003A347A">
              <w:rPr>
                <w:rFonts w:ascii="Verdana" w:hAnsi="Verdana"/>
                <w:sz w:val="18"/>
                <w:szCs w:val="18"/>
              </w:rPr>
              <w:t>previstas n</w:t>
            </w:r>
            <w:r>
              <w:rPr>
                <w:rFonts w:ascii="Verdana" w:hAnsi="Verdana"/>
                <w:sz w:val="18"/>
                <w:szCs w:val="18"/>
              </w:rPr>
              <w:t xml:space="preserve">a Convenção de Budapeste. Em particular, conceitos relacionados com o Artigo 18.1.b. (Ordens diretas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comunicação </w:t>
            </w:r>
            <w:r>
              <w:rPr>
                <w:rFonts w:ascii="Verdana" w:hAnsi="Verdana"/>
                <w:sz w:val="18"/>
                <w:szCs w:val="18"/>
              </w:rPr>
              <w:t>transfronteir</w:t>
            </w:r>
            <w:r w:rsidR="003A347A">
              <w:rPr>
                <w:rFonts w:ascii="Verdana" w:hAnsi="Verdana"/>
                <w:sz w:val="18"/>
                <w:szCs w:val="18"/>
              </w:rPr>
              <w:t>iça</w:t>
            </w:r>
            <w:r>
              <w:rPr>
                <w:rFonts w:ascii="Verdana" w:hAnsi="Verdana"/>
                <w:sz w:val="18"/>
                <w:szCs w:val="18"/>
              </w:rPr>
              <w:t xml:space="preserve">s </w:t>
            </w:r>
            <w:r w:rsidR="003A347A">
              <w:rPr>
                <w:rFonts w:ascii="Verdana" w:hAnsi="Verdana"/>
                <w:sz w:val="18"/>
                <w:szCs w:val="18"/>
              </w:rPr>
              <w:t xml:space="preserve">para obtenção de </w:t>
            </w:r>
            <w:r>
              <w:rPr>
                <w:rFonts w:ascii="Verdana" w:hAnsi="Verdana"/>
                <w:sz w:val="18"/>
                <w:szCs w:val="18"/>
              </w:rPr>
              <w:t xml:space="preserve">informações sobre subscritores) e artigo 32.º (acesso transfronteiriço a dados com consentimento) </w:t>
            </w:r>
            <w:r w:rsidRPr="00736C05">
              <w:rPr>
                <w:rFonts w:ascii="Verdana" w:hAnsi="Verdana"/>
                <w:sz w:val="18"/>
                <w:szCs w:val="18"/>
              </w:rPr>
              <w:t>são o objeto das perguntas incluídas nesta parte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A2F63" w:rsidRPr="003406F3">
        <w:trPr>
          <w:trHeight w:val="1340"/>
        </w:trPr>
        <w:tc>
          <w:tcPr>
            <w:tcW w:w="1615" w:type="dxa"/>
            <w:vAlign w:val="center"/>
          </w:tcPr>
          <w:p w:rsidR="009A2F63" w:rsidRDefault="00477A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65 a 79</w:t>
            </w:r>
          </w:p>
        </w:tc>
        <w:tc>
          <w:tcPr>
            <w:tcW w:w="7395" w:type="dxa"/>
            <w:gridSpan w:val="2"/>
            <w:vAlign w:val="center"/>
          </w:tcPr>
          <w:p w:rsidR="00EE70BF" w:rsidRDefault="00EE70BF" w:rsidP="00EE70B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cobrem as questões relativas à assistência mútua.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tenham tido a oportunidade de tentar responder às questões relevantes. O formador deve rever os fa</w:t>
            </w:r>
            <w:r w:rsidR="007455CB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e, em seguida, lidar com cada questão individualmente. Os slides são organizados des</w:t>
            </w:r>
            <w:r w:rsidR="007455CB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a maneira</w:t>
            </w:r>
            <w:r w:rsidR="007455CB">
              <w:rPr>
                <w:rFonts w:ascii="Verdana" w:hAnsi="Verdana"/>
                <w:sz w:val="18"/>
                <w:szCs w:val="18"/>
              </w:rPr>
              <w:t>: c</w:t>
            </w:r>
            <w:r>
              <w:rPr>
                <w:rFonts w:ascii="Verdana" w:hAnsi="Verdana"/>
                <w:sz w:val="18"/>
                <w:szCs w:val="18"/>
              </w:rPr>
              <w:t>ada questão é seguida por slides que destacam fa</w:t>
            </w:r>
            <w:r w:rsidR="007455CB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>tos relevantes para a questão, segui</w:t>
            </w:r>
            <w:r w:rsidR="007455CB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>do</w:t>
            </w:r>
            <w:r w:rsidR="007455CB">
              <w:rPr>
                <w:rFonts w:ascii="Verdana" w:hAnsi="Verdana"/>
                <w:sz w:val="18"/>
                <w:szCs w:val="18"/>
              </w:rPr>
              <w:t>-se</w:t>
            </w:r>
            <w:r>
              <w:rPr>
                <w:rFonts w:ascii="Verdana" w:hAnsi="Verdana"/>
                <w:sz w:val="18"/>
                <w:szCs w:val="18"/>
              </w:rPr>
              <w:t xml:space="preserve"> slides que destacam partes relevantes das disposições</w:t>
            </w:r>
            <w:r w:rsidR="007455C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da Convenção de Budapeste, </w:t>
            </w:r>
            <w:r w:rsidR="007455CB">
              <w:rPr>
                <w:rFonts w:ascii="Verdana" w:hAnsi="Verdana"/>
                <w:sz w:val="18"/>
                <w:szCs w:val="18"/>
              </w:rPr>
              <w:t>seguindo-se,</w:t>
            </w:r>
            <w:r>
              <w:rPr>
                <w:rFonts w:ascii="Verdana" w:hAnsi="Verdana"/>
                <w:sz w:val="18"/>
                <w:szCs w:val="18"/>
              </w:rPr>
              <w:t xml:space="preserve"> finalmente as respostas e explicações adequadas. </w:t>
            </w:r>
          </w:p>
          <w:p w:rsidR="009A2F63" w:rsidRDefault="00EE70BF" w:rsidP="00176E5E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</w:t>
            </w:r>
            <w:r w:rsidR="007455CB">
              <w:rPr>
                <w:rFonts w:ascii="Verdana" w:hAnsi="Verdana"/>
                <w:sz w:val="18"/>
                <w:szCs w:val="18"/>
              </w:rPr>
              <w:t xml:space="preserve">formador </w:t>
            </w:r>
            <w:r>
              <w:rPr>
                <w:rFonts w:ascii="Verdana" w:hAnsi="Verdana"/>
                <w:sz w:val="18"/>
                <w:szCs w:val="18"/>
              </w:rPr>
              <w:t xml:space="preserve">deve dar várias oportunidade aos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para responderem verbalmente às perguntas e para partilhar as respostas às perguntas. Estes slides destinam-se a testar os aspetos teóricos e práticos do entendimento dos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sobre as disposições relacionadas </w:t>
            </w:r>
            <w:r w:rsidR="007455CB">
              <w:rPr>
                <w:rFonts w:ascii="Verdana" w:hAnsi="Verdana"/>
                <w:sz w:val="18"/>
                <w:szCs w:val="18"/>
              </w:rPr>
              <w:t>com a</w:t>
            </w:r>
            <w:r>
              <w:rPr>
                <w:rFonts w:ascii="Verdana" w:hAnsi="Verdana"/>
                <w:sz w:val="18"/>
                <w:szCs w:val="18"/>
              </w:rPr>
              <w:t xml:space="preserve"> assistência mútua da Convenção de Budapeste e as suas </w:t>
            </w:r>
            <w:r w:rsidR="00176E5E">
              <w:rPr>
                <w:rFonts w:ascii="Verdana" w:hAnsi="Verdana"/>
                <w:sz w:val="18"/>
                <w:szCs w:val="18"/>
              </w:rPr>
              <w:t xml:space="preserve">capacidades </w:t>
            </w:r>
            <w:r>
              <w:rPr>
                <w:rFonts w:ascii="Verdana" w:hAnsi="Verdana"/>
                <w:sz w:val="18"/>
                <w:szCs w:val="18"/>
              </w:rPr>
              <w:t>em relação à identificação de disposições relevantes para utilizar tendo em conta certos fa</w:t>
            </w:r>
            <w:r w:rsidR="008A1C0C">
              <w:rPr>
                <w:rFonts w:ascii="Verdana" w:hAnsi="Verdana"/>
                <w:sz w:val="18"/>
                <w:szCs w:val="18"/>
              </w:rPr>
              <w:t>c</w:t>
            </w:r>
            <w:r>
              <w:rPr>
                <w:rFonts w:ascii="Verdana" w:hAnsi="Verdana"/>
                <w:sz w:val="18"/>
                <w:szCs w:val="18"/>
              </w:rPr>
              <w:t xml:space="preserve">tos. Em particular, conceitos relacionados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com </w:t>
            </w:r>
            <w:r>
              <w:rPr>
                <w:rFonts w:ascii="Verdana" w:hAnsi="Verdana"/>
                <w:sz w:val="18"/>
                <w:szCs w:val="18"/>
              </w:rPr>
              <w:t>o Artigo 29 (</w:t>
            </w:r>
            <w:r w:rsidR="008A1C0C">
              <w:rPr>
                <w:rFonts w:ascii="Verdana" w:hAnsi="Verdana"/>
                <w:sz w:val="18"/>
                <w:szCs w:val="18"/>
              </w:rPr>
              <w:t>conservação 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informáticos </w:t>
            </w:r>
            <w:r w:rsidR="008A1C0C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>rmazenados), Artigo 30 (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ivulgação </w:t>
            </w:r>
            <w:r w:rsidR="008A1C0C">
              <w:rPr>
                <w:rFonts w:ascii="Verdana" w:hAnsi="Verdana"/>
                <w:sz w:val="18"/>
                <w:szCs w:val="18"/>
              </w:rPr>
              <w:t>expedita</w:t>
            </w:r>
            <w:r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8A1C0C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 xml:space="preserve">ados de </w:t>
            </w:r>
            <w:r w:rsidR="008A1C0C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ráfego </w:t>
            </w:r>
            <w:r w:rsidR="008A1C0C">
              <w:rPr>
                <w:rFonts w:ascii="Verdana" w:hAnsi="Verdana"/>
                <w:sz w:val="18"/>
                <w:szCs w:val="18"/>
              </w:rPr>
              <w:t>con</w:t>
            </w:r>
            <w:r>
              <w:rPr>
                <w:rFonts w:ascii="Verdana" w:hAnsi="Verdana"/>
                <w:sz w:val="18"/>
                <w:szCs w:val="18"/>
              </w:rPr>
              <w:t>servados), Artigo 31 (</w:t>
            </w:r>
            <w:r w:rsidR="008A1C0C">
              <w:rPr>
                <w:rFonts w:ascii="Verdana" w:hAnsi="Verdana"/>
                <w:sz w:val="18"/>
                <w:szCs w:val="18"/>
              </w:rPr>
              <w:t>auxílio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útu</w:t>
            </w:r>
            <w:r w:rsidR="008A1C0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para </w:t>
            </w:r>
            <w:r>
              <w:rPr>
                <w:rFonts w:ascii="Verdana" w:hAnsi="Verdana"/>
                <w:sz w:val="18"/>
                <w:szCs w:val="18"/>
              </w:rPr>
              <w:t>o acesso a dados informáticos armazenados) e Artigo 33 (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auxílio </w:t>
            </w:r>
            <w:r>
              <w:rPr>
                <w:rFonts w:ascii="Verdana" w:hAnsi="Verdana"/>
                <w:sz w:val="18"/>
                <w:szCs w:val="18"/>
              </w:rPr>
              <w:t>mútu</w:t>
            </w:r>
            <w:r w:rsidR="008A1C0C">
              <w:rPr>
                <w:rFonts w:ascii="Verdana" w:hAnsi="Verdana"/>
                <w:sz w:val="18"/>
                <w:szCs w:val="18"/>
              </w:rPr>
              <w:t>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A1C0C">
              <w:rPr>
                <w:rFonts w:ascii="Verdana" w:hAnsi="Verdana"/>
                <w:sz w:val="18"/>
                <w:szCs w:val="18"/>
              </w:rPr>
              <w:t xml:space="preserve">para a </w:t>
            </w:r>
            <w:r>
              <w:rPr>
                <w:rFonts w:ascii="Verdana" w:hAnsi="Verdana"/>
                <w:sz w:val="18"/>
                <w:szCs w:val="18"/>
              </w:rPr>
              <w:t xml:space="preserve"> recolha</w:t>
            </w:r>
            <w:r w:rsidR="008A1C0C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em tempo real</w:t>
            </w:r>
            <w:r w:rsidR="008A1C0C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de dados de tráfego) são testados nesta parte.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477A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 a 82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406F3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fazer perguntas relacionadas com o material abrangido nesta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4B3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concluam o estudo de caso incluído nesta </w:t>
            </w:r>
            <w:r w:rsidR="00D15A1C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 xml:space="preserve"> depois do instrutor concluir os slides 1 a 18.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Avaliação de conhecimentos</w:t>
            </w:r>
          </w:p>
          <w:p w:rsidR="00CB3026" w:rsidRPr="003406F3" w:rsidRDefault="00B468A3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D15A1C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participem ativamente após a conclusão do exercício de estudo de caso.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291" w:rsidRDefault="008F5291" w:rsidP="008F5291">
      <w:r>
        <w:separator/>
      </w:r>
    </w:p>
  </w:endnote>
  <w:endnote w:type="continuationSeparator" w:id="0">
    <w:p w:rsidR="008F5291" w:rsidRDefault="008F5291" w:rsidP="008F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8F5291" w:rsidRDefault="008F5291" w:rsidP="008F5291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F5291" w:rsidRDefault="008F52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291" w:rsidRDefault="008F5291" w:rsidP="008F5291">
      <w:r>
        <w:separator/>
      </w:r>
    </w:p>
  </w:footnote>
  <w:footnote w:type="continuationSeparator" w:id="0">
    <w:p w:rsidR="008F5291" w:rsidRDefault="008F5291" w:rsidP="008F5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75ADE"/>
    <w:rsid w:val="00176E5E"/>
    <w:rsid w:val="00185B76"/>
    <w:rsid w:val="001B428D"/>
    <w:rsid w:val="001B5DAD"/>
    <w:rsid w:val="002131BC"/>
    <w:rsid w:val="0024411A"/>
    <w:rsid w:val="0026395D"/>
    <w:rsid w:val="00271010"/>
    <w:rsid w:val="0027512B"/>
    <w:rsid w:val="002A79F8"/>
    <w:rsid w:val="002F375E"/>
    <w:rsid w:val="0033609D"/>
    <w:rsid w:val="003406F3"/>
    <w:rsid w:val="0036129C"/>
    <w:rsid w:val="003630ED"/>
    <w:rsid w:val="003958A0"/>
    <w:rsid w:val="00397FEA"/>
    <w:rsid w:val="003A347A"/>
    <w:rsid w:val="003D1BD9"/>
    <w:rsid w:val="003E0EDB"/>
    <w:rsid w:val="003F2BCF"/>
    <w:rsid w:val="003F6045"/>
    <w:rsid w:val="004639E3"/>
    <w:rsid w:val="00477ADF"/>
    <w:rsid w:val="00491B86"/>
    <w:rsid w:val="0051122C"/>
    <w:rsid w:val="005154BF"/>
    <w:rsid w:val="00534FB7"/>
    <w:rsid w:val="005703B7"/>
    <w:rsid w:val="00594B3F"/>
    <w:rsid w:val="005951B6"/>
    <w:rsid w:val="005A4E47"/>
    <w:rsid w:val="005F4B3C"/>
    <w:rsid w:val="006B6864"/>
    <w:rsid w:val="006D7128"/>
    <w:rsid w:val="006F75E4"/>
    <w:rsid w:val="007169BB"/>
    <w:rsid w:val="00736C05"/>
    <w:rsid w:val="007455CB"/>
    <w:rsid w:val="00761BA4"/>
    <w:rsid w:val="00790848"/>
    <w:rsid w:val="0079197D"/>
    <w:rsid w:val="00795C47"/>
    <w:rsid w:val="007A1980"/>
    <w:rsid w:val="007B75A9"/>
    <w:rsid w:val="007C58CF"/>
    <w:rsid w:val="007D18F0"/>
    <w:rsid w:val="007F2601"/>
    <w:rsid w:val="00823B30"/>
    <w:rsid w:val="00831160"/>
    <w:rsid w:val="008A1C0C"/>
    <w:rsid w:val="008E3FE7"/>
    <w:rsid w:val="008F5291"/>
    <w:rsid w:val="009277BD"/>
    <w:rsid w:val="0094072C"/>
    <w:rsid w:val="00965ADD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3018E"/>
    <w:rsid w:val="00B4237D"/>
    <w:rsid w:val="00B468A3"/>
    <w:rsid w:val="00B569A5"/>
    <w:rsid w:val="00B71D66"/>
    <w:rsid w:val="00BD6890"/>
    <w:rsid w:val="00C541A2"/>
    <w:rsid w:val="00C606AF"/>
    <w:rsid w:val="00CB02C4"/>
    <w:rsid w:val="00CB3026"/>
    <w:rsid w:val="00CF0C7C"/>
    <w:rsid w:val="00D15A1C"/>
    <w:rsid w:val="00D82C18"/>
    <w:rsid w:val="00D944B5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5D897-6DA6-44B8-905D-CB29C1A1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16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16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5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291"/>
  </w:style>
  <w:style w:type="paragraph" w:styleId="Footer">
    <w:name w:val="footer"/>
    <w:basedOn w:val="Normal"/>
    <w:link w:val="FooterChar"/>
    <w:uiPriority w:val="99"/>
    <w:unhideWhenUsed/>
    <w:rsid w:val="008F5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1227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6</cp:revision>
  <dcterms:created xsi:type="dcterms:W3CDTF">2019-04-16T01:39:00Z</dcterms:created>
  <dcterms:modified xsi:type="dcterms:W3CDTF">2019-09-02T11:52:00Z</dcterms:modified>
</cp:coreProperties>
</file>